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La</w:t>
      </w:r>
      <w:r>
        <w:t xml:space="preserve"> </w:t>
      </w:r>
      <w:r>
        <w:t xml:space="preserve">Tour</w:t>
      </w:r>
      <w:r>
        <w:t xml:space="preserve"> </w:t>
      </w:r>
      <w:r>
        <w:t xml:space="preserve">de</w:t>
      </w:r>
      <w:r>
        <w:t xml:space="preserve"> </w:t>
      </w:r>
      <w:r>
        <w:t xml:space="preserve">Cirith</w:t>
      </w:r>
      <w:r>
        <w:t xml:space="preserve"> </w:t>
      </w:r>
      <w:r>
        <w:t xml:space="preserve">Ungol</w:t>
      </w:r>
      <w:r>
        <w:t xml:space="preserve"> </w:t>
      </w:r>
      <w:r>
        <w:t xml:space="preserve">et</w:t>
      </w:r>
      <w:r>
        <w:t xml:space="preserve"> </w:t>
      </w:r>
      <w:r>
        <w:t xml:space="preserve">l’Antre</w:t>
      </w:r>
      <w:r>
        <w:t xml:space="preserve"> </w:t>
      </w:r>
      <w:r>
        <w:t xml:space="preserve">de</w:t>
      </w:r>
      <w:r>
        <w:t xml:space="preserve"> </w:t>
      </w:r>
      <w:r>
        <w:t xml:space="preserve">Shelob</w:t>
      </w:r>
    </w:p>
    <w:bookmarkStart w:id="31" w:name="X8678cdc2140313e2c5cff7bb623e4e300b4f74b"/>
    <w:p>
      <w:pPr>
        <w:pStyle w:val="Titre1"/>
      </w:pPr>
      <w:r>
        <w:t xml:space="preserve">La Tour de Cirith</w:t>
      </w:r>
      <w:r>
        <w:t xml:space="preserve"> </w:t>
      </w:r>
      <w:r>
        <w:t xml:space="preserve">Ungol et l’Antre de Shelob</w:t>
      </w:r>
    </w:p>
    <w:p>
      <w:pPr>
        <w:pStyle w:val="Figure"/>
      </w:pPr>
      <w:r>
        <w:drawing>
          <wp:inline>
            <wp:extent cx="5943600" cy="3915346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3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lockText"/>
      </w:pPr>
      <w:r>
        <w:t xml:space="preserve">Bo-Lagg enjoignit à son groupe d’aventuriers de le rejoindre</w:t>
      </w:r>
      <w:r>
        <w:t xml:space="preserve"> </w:t>
      </w:r>
      <w:r>
        <w:t xml:space="preserve">silencieusement sur la crête rocheuse.</w:t>
      </w:r>
    </w:p>
    <w:p>
      <w:pPr>
        <w:pStyle w:val="BlockText"/>
      </w:pPr>
      <w:r>
        <w:t xml:space="preserve">« Là-bas se dresse la tour où l’anneau d’Axardil est enfermé »,</w:t>
      </w:r>
      <w:r>
        <w:t xml:space="preserve"> </w:t>
      </w:r>
      <w:r>
        <w:t xml:space="preserve">chuchota-t-il, regardant dans la direction où se profilait la forteresse</w:t>
      </w:r>
      <w:r>
        <w:t xml:space="preserve"> </w:t>
      </w:r>
      <w:r>
        <w:t xml:space="preserve">de Cirith Ungol. Les autres étudièrent la flèche haute de 90 mètres avec</w:t>
      </w:r>
      <w:r>
        <w:t xml:space="preserve"> </w:t>
      </w:r>
      <w:r>
        <w:t xml:space="preserve">des regards déterminés.</w:t>
      </w:r>
    </w:p>
    <w:p>
      <w:pPr>
        <w:pStyle w:val="BlockText"/>
      </w:pPr>
      <w:r>
        <w:t xml:space="preserve">« Après nous être emparés de l’Anneau de mithril, nous nous</w:t>
      </w:r>
      <w:r>
        <w:t xml:space="preserve"> </w:t>
      </w:r>
      <w:r>
        <w:t xml:space="preserve">faufilerons par le chemin derrière Shelob - ou nous devrons combattre en</w:t>
      </w:r>
      <w:r>
        <w:t xml:space="preserve"> </w:t>
      </w:r>
      <w:r>
        <w:t xml:space="preserve">passant devant elle ! Ceux qui ne peuvent faire face à la terreur de</w:t>
      </w:r>
      <w:r>
        <w:t xml:space="preserve"> </w:t>
      </w:r>
      <w:r>
        <w:t xml:space="preserve">cette bête répugnante feraient mieux de rebrousser chemin dès à</w:t>
      </w:r>
      <w:r>
        <w:t xml:space="preserve"> </w:t>
      </w:r>
      <w:r>
        <w:t xml:space="preserve">présent ».</w:t>
      </w:r>
    </w:p>
    <w:p>
      <w:pPr>
        <w:pStyle w:val="BlockText"/>
      </w:pPr>
      <w:r>
        <w:t xml:space="preserve">Pendant un moment silencieux, Bo-Lagg se demanda qui continuerait et</w:t>
      </w:r>
      <w:r>
        <w:t xml:space="preserve"> </w:t>
      </w:r>
      <w:r>
        <w:t xml:space="preserve">qui resterait ; il se rendit compte alors que tous dans le groupe</w:t>
      </w:r>
      <w:r>
        <w:t xml:space="preserve"> </w:t>
      </w:r>
      <w:r>
        <w:t xml:space="preserve">étaient aussi avides et téméraires que lui.</w:t>
      </w:r>
    </w:p>
    <w:p>
      <w:pPr>
        <w:pStyle w:val="BlockText"/>
      </w:pPr>
      <w:r>
        <w:t xml:space="preserve">« Alors venez », ordonna-t-il, « sus au col et au trésor ! ».</w:t>
      </w:r>
    </w:p>
    <w:p>
      <w:pPr>
        <w:pStyle w:val="BlockText"/>
      </w:pPr>
      <w:r>
        <w:t xml:space="preserve">Le groupe fatigué se mit en route et suivit Bo-Lagg, qui se demandait</w:t>
      </w:r>
      <w:r>
        <w:t xml:space="preserve"> </w:t>
      </w:r>
      <w:r>
        <w:t xml:space="preserve">qui le premier le trahirait et s’enfuirait avec l’anneau -si l’un</w:t>
      </w:r>
      <w:r>
        <w:t xml:space="preserve"> </w:t>
      </w:r>
      <w:r>
        <w:t xml:space="preserve">d’entre eux arrivait aussi loin. Il est malheureux qu’il n’y ait place</w:t>
      </w:r>
      <w:r>
        <w:t xml:space="preserve"> </w:t>
      </w:r>
      <w:r>
        <w:t xml:space="preserve">que pour un doigt dans l’anneau, pensait Bo-Lagg.</w:t>
      </w:r>
    </w:p>
    <w:p>
      <w:pPr>
        <w:pStyle w:val="FirstParagraph"/>
      </w:pPr>
      <w:r>
        <w:t xml:space="preserve">Un jeu de rôle est un type de jeu qui vous permet d’incarner un</w:t>
      </w:r>
      <w:r>
        <w:t xml:space="preserve"> </w:t>
      </w:r>
      <w:r>
        <w:t xml:space="preserve">personnage dans une histoire « vécue ». Le JEU DE RÔLE DES TERRES DU</w:t>
      </w:r>
      <w:r>
        <w:t xml:space="preserve"> </w:t>
      </w:r>
      <w:r>
        <w:t xml:space="preserve">MILIEU (JRTM) vous fournit tout ce dont vous avez besoin pour jouer dans</w:t>
      </w:r>
      <w:r>
        <w:t xml:space="preserve"> </w:t>
      </w:r>
      <w:r>
        <w:t xml:space="preserve">le monde le plus fantastique de tous les temps…</w:t>
      </w:r>
    </w:p>
    <w:p>
      <w:pPr>
        <w:pStyle w:val="Corpsdetexte"/>
      </w:pPr>
      <w:r>
        <w:t xml:space="preserve">Après l’écran pour le Meneur de Jeu, la carte complète du continent</w:t>
      </w:r>
      <w:r>
        <w:t xml:space="preserve"> </w:t>
      </w:r>
      <w:r>
        <w:t xml:space="preserve">des Terres du Milieu et Angmar, le premier module de campagne dans le</w:t>
      </w:r>
      <w:r>
        <w:t xml:space="preserve"> </w:t>
      </w:r>
      <w:r>
        <w:t xml:space="preserve">monde de J.R.R Tolkien,</w:t>
      </w:r>
      <w:r>
        <w:t xml:space="preserve"> </w:t>
      </w:r>
      <w:r>
        <w:rPr>
          <w:bCs/>
          <w:b/>
        </w:rPr>
        <w:t xml:space="preserve">voici le premier module</w:t>
      </w:r>
      <w:r>
        <w:rPr>
          <w:bCs/>
          <w:b/>
        </w:rPr>
        <w:t xml:space="preserve"> </w:t>
      </w:r>
      <w:r>
        <w:rPr>
          <w:bCs/>
          <w:b/>
        </w:rPr>
        <w:t xml:space="preserve">d’aventure</w:t>
      </w:r>
      <w:r>
        <w:t xml:space="preserve"> </w:t>
      </w:r>
      <w:r>
        <w:t xml:space="preserve">: La Tour de Cirith Ungol et l’Antre de Shelob.</w:t>
      </w:r>
    </w:p>
    <w:p>
      <w:pPr>
        <w:pStyle w:val="Corpsdetexte"/>
      </w:pPr>
      <w:r>
        <w:t xml:space="preserve">La gamme des produits sur les Terres du Milieu de I.C.E. comprend</w:t>
      </w:r>
      <w:r>
        <w:t xml:space="preserve"> </w:t>
      </w:r>
      <w:r>
        <w:t xml:space="preserve">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Le Jeu de Rôle des Terres du Milieu (JRTM)</w:t>
      </w:r>
      <w:r>
        <w:t xml:space="preserve"> </w:t>
      </w:r>
      <w:r>
        <w:t xml:space="preserve">qui</w:t>
      </w:r>
      <w:r>
        <w:t xml:space="preserve"> </w:t>
      </w:r>
      <w:r>
        <w:t xml:space="preserve">contient tout ce dont vous avez besoin pour partir à l’Aventure dans les</w:t>
      </w:r>
      <w:r>
        <w:t xml:space="preserve"> </w:t>
      </w:r>
      <w:r>
        <w:t xml:space="preserve">Terres du Milieu, y compris un module pour débuter.</w:t>
      </w:r>
    </w:p>
    <w:p>
      <w:pPr>
        <w:numPr>
          <w:ilvl w:val="0"/>
          <w:numId w:val="1001"/>
        </w:numPr>
        <w:pStyle w:val="Compact"/>
      </w:pPr>
      <w:r>
        <w:t xml:space="preserve">Les</w:t>
      </w:r>
      <w:r>
        <w:t xml:space="preserve"> </w:t>
      </w:r>
      <w:r>
        <w:rPr>
          <w:bCs/>
          <w:b/>
        </w:rPr>
        <w:t xml:space="preserve">Modules de Campagne</w:t>
      </w:r>
      <w:r>
        <w:t xml:space="preserve">, détaillant de vastes</w:t>
      </w:r>
      <w:r>
        <w:t xml:space="preserve"> </w:t>
      </w:r>
      <w:r>
        <w:t xml:space="preserve">régions, avec toutes les informations nécessaires et des cartes en</w:t>
      </w:r>
      <w:r>
        <w:t xml:space="preserve"> </w:t>
      </w:r>
      <w:r>
        <w:t xml:space="preserve">couleur.</w:t>
      </w:r>
    </w:p>
    <w:p>
      <w:pPr>
        <w:numPr>
          <w:ilvl w:val="0"/>
          <w:numId w:val="1001"/>
        </w:numPr>
        <w:pStyle w:val="Compact"/>
      </w:pPr>
      <w:r>
        <w:t xml:space="preserve">Les</w:t>
      </w:r>
      <w:r>
        <w:t xml:space="preserve"> </w:t>
      </w:r>
      <w:r>
        <w:rPr>
          <w:bCs/>
          <w:b/>
        </w:rPr>
        <w:t xml:space="preserve">Modules d’Aventure</w:t>
      </w:r>
      <w:r>
        <w:t xml:space="preserve">, dans un lieu plus</w:t>
      </w:r>
      <w:r>
        <w:t xml:space="preserve"> </w:t>
      </w:r>
      <w:r>
        <w:t xml:space="preserve">spécifique, avec plusieurs aventures prêtes à jouer.</w:t>
      </w:r>
    </w:p>
    <w:p>
      <w:pPr>
        <w:numPr>
          <w:ilvl w:val="0"/>
          <w:numId w:val="1001"/>
        </w:numPr>
        <w:pStyle w:val="Compact"/>
      </w:pPr>
      <w:r>
        <w:t xml:space="preserve">La</w:t>
      </w:r>
      <w:r>
        <w:t xml:space="preserve"> </w:t>
      </w:r>
      <w:r>
        <w:rPr>
          <w:bCs/>
          <w:b/>
        </w:rPr>
        <w:t xml:space="preserve">Carte des Terres du Milieu</w:t>
      </w:r>
      <w:r>
        <w:t xml:space="preserve">, grand poster en</w:t>
      </w:r>
      <w:r>
        <w:t xml:space="preserve"> </w:t>
      </w:r>
      <w:r>
        <w:t xml:space="preserve">couleur, fournissant une vue d’ensemble de tout le continent.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L’Écran du Meneur de Jeu</w:t>
      </w:r>
      <w:r>
        <w:t xml:space="preserve"> </w:t>
      </w:r>
      <w:r>
        <w:t xml:space="preserve">regroupant toutes les</w:t>
      </w:r>
      <w:r>
        <w:t xml:space="preserve"> </w:t>
      </w:r>
      <w:r>
        <w:t xml:space="preserve">tables nécessaires pour diriger une partie.</w:t>
      </w:r>
    </w:p>
    <w:bookmarkStart w:id="23" w:name="crédits"/>
    <w:p>
      <w:pPr>
        <w:pStyle w:val="Titre2"/>
      </w:pPr>
      <w:r>
        <w:t xml:space="preserve">Crédits</w:t>
      </w:r>
    </w:p>
    <w:p>
      <w:pPr>
        <w:pStyle w:val="FirstParagraph"/>
      </w:pPr>
      <w:r>
        <w:rPr>
          <w:bCs/>
          <w:b/>
        </w:rPr>
        <w:t xml:space="preserve">Auteur</w:t>
      </w:r>
      <w:r>
        <w:t xml:space="preserve"> </w:t>
      </w:r>
      <w:r>
        <w:t xml:space="preserve">: Cari Willner</w:t>
      </w:r>
    </w:p>
    <w:p>
      <w:pPr>
        <w:pStyle w:val="Corpsdetexte"/>
      </w:pPr>
      <w:r>
        <w:rPr>
          <w:bCs/>
          <w:b/>
        </w:rPr>
        <w:t xml:space="preserve">Correcteur</w:t>
      </w:r>
      <w:r>
        <w:t xml:space="preserve"> </w:t>
      </w:r>
      <w:r>
        <w:t xml:space="preserve">: Terry K. Amthor</w:t>
      </w:r>
    </w:p>
    <w:p>
      <w:pPr>
        <w:pStyle w:val="Corpsdetexte"/>
      </w:pPr>
      <w:r>
        <w:rPr>
          <w:bCs/>
          <w:b/>
        </w:rPr>
        <w:t xml:space="preserve">Dessin de couverture</w:t>
      </w:r>
      <w:r>
        <w:t xml:space="preserve"> </w:t>
      </w:r>
      <w:r>
        <w:t xml:space="preserve">: Chris White</w:t>
      </w:r>
    </w:p>
    <w:p>
      <w:pPr>
        <w:pStyle w:val="Corpsdetexte"/>
      </w:pPr>
      <w:r>
        <w:rPr>
          <w:bCs/>
          <w:b/>
        </w:rPr>
        <w:t xml:space="preserve">Cartes</w:t>
      </w:r>
      <w:r>
        <w:t xml:space="preserve"> </w:t>
      </w:r>
      <w:r>
        <w:t xml:space="preserve">: Peter C. Fenlon</w:t>
      </w:r>
    </w:p>
    <w:p>
      <w:pPr>
        <w:pStyle w:val="Corpsdetexte"/>
      </w:pPr>
      <w:r>
        <w:rPr>
          <w:bCs/>
          <w:b/>
        </w:rPr>
        <w:t xml:space="preserve">Illustrations</w:t>
      </w:r>
      <w:r>
        <w:t xml:space="preserve"> </w:t>
      </w:r>
      <w:r>
        <w:t xml:space="preserve">: Charles Peale</w:t>
      </w:r>
    </w:p>
    <w:p>
      <w:pPr>
        <w:pStyle w:val="Corpsdetexte"/>
      </w:pPr>
      <w:r>
        <w:rPr>
          <w:bCs/>
          <w:b/>
        </w:rPr>
        <w:t xml:space="preserve">Plans</w:t>
      </w:r>
      <w:r>
        <w:t xml:space="preserve"> </w:t>
      </w:r>
      <w:r>
        <w:t xml:space="preserve">: Terry K. Amthor</w:t>
      </w:r>
    </w:p>
    <w:p>
      <w:pPr>
        <w:pStyle w:val="Corpsdetexte"/>
      </w:pPr>
      <w:r>
        <w:rPr>
          <w:bCs/>
          <w:b/>
        </w:rPr>
        <w:t xml:space="preserve">Production</w:t>
      </w:r>
      <w:r>
        <w:t xml:space="preserve"> </w:t>
      </w:r>
      <w:r>
        <w:t xml:space="preserve">: John David Ruemmler, Larry Simms</w:t>
      </w:r>
    </w:p>
    <w:p>
      <w:pPr>
        <w:pStyle w:val="Corpsdetexte"/>
      </w:pPr>
      <w:r>
        <w:rPr>
          <w:bCs/>
          <w:b/>
        </w:rPr>
        <w:t xml:space="preserve">Contributions rédactionnelles</w:t>
      </w:r>
      <w:r>
        <w:t xml:space="preserve"> </w:t>
      </w:r>
      <w:r>
        <w:t xml:space="preserve">: Howard Huggins,</w:t>
      </w:r>
      <w:r>
        <w:t xml:space="preserve"> </w:t>
      </w:r>
      <w:r>
        <w:t xml:space="preserve">Peter C. Fenlon, Bruce R. Neidlinger, Deane Begiebing, Roy A, Roy B,</w:t>
      </w:r>
      <w:r>
        <w:t xml:space="preserve"> </w:t>
      </w:r>
      <w:r>
        <w:t xml:space="preserve">Terry Amthor, Larry Simms, John Ruemmler, Rick Britton, James Blevins,</w:t>
      </w:r>
      <w:r>
        <w:t xml:space="preserve"> </w:t>
      </w:r>
      <w:r>
        <w:t xml:space="preserve">Steven Bouton, Terry Pride, Chris Christensen.</w:t>
      </w:r>
    </w:p>
    <w:p>
      <w:pPr>
        <w:pStyle w:val="Corpsdetexte"/>
      </w:pPr>
      <w:r>
        <w:rPr>
          <w:bCs/>
          <w:b/>
        </w:rPr>
        <w:t xml:space="preserve">Titre original</w:t>
      </w:r>
      <w:r>
        <w:t xml:space="preserve"> </w:t>
      </w:r>
      <w:r>
        <w:t xml:space="preserve">: « The Tower of Cirith Ungol and</w:t>
      </w:r>
      <w:r>
        <w:t xml:space="preserve"> </w:t>
      </w:r>
      <w:r>
        <w:t xml:space="preserve">Shelob’s Lair »</w:t>
      </w:r>
    </w:p>
    <w:p>
      <w:pPr>
        <w:pStyle w:val="Corpsdetexte"/>
      </w:pPr>
      <w:r>
        <w:rPr>
          <w:bCs/>
          <w:b/>
        </w:rPr>
        <w:t xml:space="preserve">Traduction</w:t>
      </w:r>
      <w:r>
        <w:t xml:space="preserve"> </w:t>
      </w:r>
      <w:r>
        <w:t xml:space="preserve">: Jérôme Dumec et Frédéric Prévost.</w:t>
      </w:r>
    </w:p>
    <w:bookmarkEnd w:id="23"/>
    <w:bookmarkStart w:id="30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« L’Antre de Shelob » est éditée par SOCOMER Éditions.</w:t>
      </w:r>
    </w:p>
    <w:p>
      <w:pPr>
        <w:pStyle w:val="Corpsdetexte"/>
      </w:pPr>
      <w:r>
        <w:t xml:space="preserve">IRON CROWN ENTERPRISES, détient les droits exclusifs pour le monde</w:t>
      </w:r>
      <w:r>
        <w:t xml:space="preserve"> </w:t>
      </w:r>
      <w:r>
        <w:t xml:space="preserve">entier pour tous les JEUX DE RÔLE et JEUX DE PLATEAUX basés sur LE</w:t>
      </w:r>
      <w:r>
        <w:t xml:space="preserve"> </w:t>
      </w:r>
      <w:r>
        <w:t xml:space="preserve">SEIGNEUR DES ANNEAUX et BILBO, LE HOBBIT.</w:t>
      </w:r>
    </w:p>
    <w:p>
      <w:pPr>
        <w:pStyle w:val="Corpsdetexte"/>
      </w:pPr>
      <w:r>
        <w:t xml:space="preserve">1984 TOLKIEN ENTERPRISES, BILBO LE HOBBIT, LE SEIGNEUR DES ANNEAUX,</w:t>
      </w:r>
      <w:r>
        <w:t xml:space="preserve"> </w:t>
      </w:r>
      <w:r>
        <w:t xml:space="preserve">ainsi que tous les personnages et lieux décrits dans ce jeu sont des</w:t>
      </w:r>
      <w:r>
        <w:t xml:space="preserve"> </w:t>
      </w:r>
      <w:r>
        <w:t xml:space="preserve">marques déposées appartenant à TOLKIEN ENTERPRISES, une division de ELAN</w:t>
      </w:r>
      <w:r>
        <w:t xml:space="preserve"> </w:t>
      </w:r>
      <w:r>
        <w:t xml:space="preserve">MERCHANDISING, Inc., Berkeley, CA, USA.</w:t>
      </w:r>
    </w:p>
    <w:p>
      <w:pPr>
        <w:pStyle w:val="Corpsdetexte"/>
      </w:pPr>
      <w:r>
        <w:rPr>
          <w:bCs/>
          <w:b/>
        </w:rPr>
        <w:t xml:space="preserve">Créé par</w:t>
      </w:r>
      <w:r>
        <w:t xml:space="preserve"> </w:t>
      </w:r>
      <w:r>
        <w:t xml:space="preserve">: IRON CROWN ENTERPRISES® Inc., P.O. BOX</w:t>
      </w:r>
      <w:r>
        <w:t xml:space="preserve"> </w:t>
      </w:r>
      <w:r>
        <w:t xml:space="preserve">1605, Charlottesville, VA 22902, États-Unis.</w:t>
      </w:r>
    </w:p>
    <w:p>
      <w:pPr>
        <w:pStyle w:val="Corpsdetexte"/>
      </w:pPr>
      <w:r>
        <w:t xml:space="preserve">Copyright (c) 1984 TOLKIEN ENTERPRISES, une division de ELAN</w:t>
      </w:r>
      <w:r>
        <w:t xml:space="preserve"> </w:t>
      </w:r>
      <w:r>
        <w:t xml:space="preserve">MERCHANDISING, Inc., Berkeley, CA.,USA.</w:t>
      </w:r>
    </w:p>
    <w:p>
      <w:pPr>
        <w:pStyle w:val="Corpsdetexte"/>
      </w:pPr>
      <w:r>
        <w:rPr>
          <w:bCs/>
          <w:b/>
        </w:rPr>
        <w:t xml:space="preserve">Produit et distribué sur le marché français par</w:t>
      </w:r>
      <w:r>
        <w:t xml:space="preserve"> </w:t>
      </w:r>
      <w:r>
        <w:t xml:space="preserve">:</w:t>
      </w:r>
      <w:r>
        <w:t xml:space="preserve"> </w:t>
      </w:r>
      <w:r>
        <w:t xml:space="preserve">HEXAGONAL, 8 Galerie Montmartre, 75002 PARIS.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0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page-36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0"/>
    <w:bookmarkEnd w:id="3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7" Target="media/rId2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La Tour de Cirith Ungol et l’Antre de Shelob</dc:title>
  <dc:creator/>
  <dc:language/>
  <cp:keywords/>
  <dcterms:created xsi:type="dcterms:W3CDTF">2023-11-27T15:01:33Z</dcterms:created>
  <dcterms:modified xsi:type="dcterms:W3CDTF">2023-11-27T15:01:33Z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